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2377440" cy="237744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eldhealth_logo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2377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40" w:after="0"/>
        <w:jc w:val="center"/>
      </w:pPr>
      <w:r>
        <w:rPr>
          <w:rFonts w:ascii="Calibri" w:hAnsi="Calibri"/>
          <w:b w:val="0"/>
          <w:i/>
          <w:color w:val="666B6E"/>
          <w:sz w:val="24"/>
        </w:rPr>
        <w:t>Health data, made usable</w:t>
      </w:r>
    </w:p>
    <w:p/>
    <w:p/>
    <w:p>
      <w:pPr>
        <w:spacing w:before="0" w:after="40"/>
        <w:jc w:val="center"/>
      </w:pPr>
      <w:r>
        <w:rPr>
          <w:rFonts w:ascii="Calibri" w:hAnsi="Calibri"/>
          <w:b/>
          <w:i w:val="0"/>
          <w:color w:val="202A2C"/>
          <w:sz w:val="52"/>
        </w:rPr>
        <w:t>District Health Report Generator</w:t>
      </w:r>
    </w:p>
    <w:p>
      <w:pPr>
        <w:spacing w:before="0" w:after="120"/>
        <w:jc w:val="center"/>
      </w:pPr>
      <w:r>
        <w:rPr>
          <w:rFonts w:ascii="Calibri" w:hAnsi="Calibri"/>
          <w:b/>
          <w:i w:val="0"/>
          <w:color w:val="E0872B"/>
          <w:sz w:val="40"/>
        </w:rPr>
        <w:t>User Manual</w:t>
      </w:r>
    </w:p>
    <w:p>
      <w:pPr>
        <w:spacing w:before="0" w:after="80"/>
        <w:jc w:val="center"/>
      </w:pPr>
      <w:r>
        <w:rPr>
          <w:rFonts w:ascii="Calibri" w:hAnsi="Calibri"/>
          <w:b w:val="0"/>
          <w:i/>
          <w:color w:val="666B6E"/>
          <w:sz w:val="24"/>
        </w:rPr>
        <w:t>Générateur de rapports sanitaires de district — Manuel de l'utilisateur</w:t>
      </w:r>
    </w:p>
    <w:p>
      <w:pPr>
        <w:spacing w:before="0" w:after="40"/>
        <w:jc w:val="center"/>
      </w:pPr>
      <w:r>
        <w:rPr>
          <w:rFonts w:ascii="Calibri" w:hAnsi="Calibri"/>
          <w:b w:val="0"/>
          <w:i w:val="0"/>
          <w:color w:val="666B6E"/>
          <w:sz w:val="24"/>
        </w:rPr>
        <w:t>Turn your routine DHIS2 exports into finished, bilingual district and regional health reports — on your own computer.</w:t>
      </w:r>
    </w:p>
    <w:p/>
    <w:p/>
    <w:p/>
    <w:p>
      <w:pPr>
        <w:spacing w:before="0" w:after="40"/>
        <w:jc w:val="center"/>
      </w:pPr>
      <w:r>
        <w:rPr>
          <w:rFonts w:ascii="Calibri" w:hAnsi="Calibri"/>
          <w:b/>
          <w:i w:val="0"/>
          <w:color w:val="1A5B68"/>
          <w:sz w:val="24"/>
        </w:rPr>
        <w:t>A product of FieldHealth Africa</w:t>
      </w:r>
    </w:p>
    <w:p>
      <w:pPr>
        <w:spacing w:before="0" w:after="40"/>
        <w:jc w:val="center"/>
      </w:pPr>
      <w:r>
        <w:rPr>
          <w:rFonts w:ascii="Calibri" w:hAnsi="Calibri"/>
          <w:b w:val="0"/>
          <w:i/>
          <w:color w:val="666B6E"/>
          <w:sz w:val="22"/>
        </w:rPr>
        <w:t>Produced in collaboration by</w:t>
      </w:r>
    </w:p>
    <w:p>
      <w:pPr>
        <w:spacing w:before="0" w:after="0"/>
        <w:jc w:val="center"/>
      </w:pPr>
      <w:r>
        <w:rPr>
          <w:rFonts w:ascii="Calibri" w:hAnsi="Calibri"/>
          <w:b/>
          <w:i w:val="0"/>
          <w:color w:val="202A2C"/>
          <w:sz w:val="22"/>
        </w:rPr>
        <w:t>Dr. Nzozone Henry Fomukong — District Medical Officer, Mamfe Health District</w:t>
      </w:r>
    </w:p>
    <w:p>
      <w:pPr>
        <w:spacing w:before="0" w:after="120"/>
        <w:jc w:val="center"/>
      </w:pPr>
      <w:r>
        <w:rPr>
          <w:rFonts w:ascii="Calibri" w:hAnsi="Calibri"/>
          <w:b/>
          <w:i w:val="0"/>
          <w:color w:val="202A2C"/>
          <w:sz w:val="22"/>
        </w:rPr>
        <w:t>Dr. Njang Mbeng Emmanuel — District Medical Officer, Muyuka Health District</w:t>
      </w:r>
    </w:p>
    <w:p>
      <w:pPr>
        <w:spacing w:before="0" w:after="120"/>
        <w:jc w:val="center"/>
      </w:pPr>
      <w:r>
        <w:rPr>
          <w:rFonts w:ascii="Calibri" w:hAnsi="Calibri"/>
          <w:b w:val="0"/>
          <w:i w:val="0"/>
          <w:color w:val="666B6E"/>
          <w:sz w:val="20"/>
        </w:rPr>
        <w:t>Version 1.0   ·   July 2026   ·   fieldhealthafrica.org</w:t>
      </w:r>
    </w:p>
    <w:p>
      <w:r>
        <w:br w:type="page"/>
      </w:r>
    </w:p>
    <w:p>
      <w:pPr>
        <w:spacing w:before="0" w:after="120"/>
        <w:jc w:val="center"/>
      </w:pPr>
      <w:r>
        <w:rPr>
          <w:rFonts w:ascii="Calibri" w:hAnsi="Calibri"/>
          <w:b/>
          <w:i w:val="0"/>
          <w:color w:val="1A5B68"/>
          <w:sz w:val="32"/>
        </w:rPr>
        <w:t>Contents</w:t>
      </w:r>
    </w:p>
    <w:p>
      <w:r>
        <w:fldChar w:fldCharType="begin"/>
        <w:instrText xml:space="preserve"> TOC \o "1-2" \h \z \u </w:instrText>
        <w:fldChar w:fldCharType="separate"/>
        <w:t>Right-click here and choose “Update Field” to build the table of contents.</w:t>
        <w:fldChar w:fldCharType="end"/>
      </w:r>
    </w:p>
    <w:p>
      <w:r>
        <w:br w:type="page"/>
      </w:r>
    </w:p>
    <w:p>
      <w:pPr>
        <w:spacing w:after="40"/>
      </w:pPr>
    </w:p>
    <w:p>
      <w:pPr>
        <w:pStyle w:val="Heading1"/>
      </w:pPr>
      <w:r>
        <w:rPr>
          <w:color w:val="1A5B68"/>
        </w:rPr>
        <w:t>1. About this tool</w:t>
      </w:r>
    </w:p>
    <w:p>
      <w:pPr>
        <w:spacing w:after="160"/>
      </w:pPr>
      <w:r>
        <w:rPr>
          <w:rFonts w:ascii="Calibri" w:hAnsi="Calibri"/>
          <w:b w:val="0"/>
          <w:i w:val="0"/>
          <w:sz w:val="22"/>
        </w:rPr>
        <w:t>The District Health Report Generator turns the routine data you already report into DHIS2 into a finished, professionally formatted health report — the same 23-section layout as the district annual report, complete with charts, tables and a cover page, ready to review, print or share.</w:t>
      </w:r>
    </w:p>
    <w:p>
      <w:pPr>
        <w:spacing w:after="160"/>
      </w:pPr>
      <w:r>
        <w:rPr>
          <w:rFonts w:ascii="Calibri" w:hAnsi="Calibri"/>
          <w:b w:val="0"/>
          <w:i w:val="0"/>
          <w:sz w:val="22"/>
        </w:rPr>
        <w:t>It was built by district medical officers, for district medical officers, to cut the hours spent assembling reports by hand and to make the data tell its story clearly.</w:t>
      </w:r>
    </w:p>
    <w:p>
      <w:pPr>
        <w:pStyle w:val="Heading2"/>
      </w:pPr>
      <w:r>
        <w:rPr>
          <w:color w:val="202A2C"/>
        </w:rPr>
        <w:t>What it produces</w:t>
      </w:r>
    </w:p>
    <w:p>
      <w:pPr>
        <w:pStyle w:val="ListBullet"/>
      </w:pPr>
      <w:r>
        <w:rPr>
          <w:rFonts w:ascii="Calibri" w:hAnsi="Calibri"/>
          <w:b/>
          <w:i w:val="0"/>
          <w:sz w:val="22"/>
        </w:rPr>
        <w:t xml:space="preserve">•  </w:t>
      </w:r>
      <w:r>
        <w:rPr>
          <w:rFonts w:ascii="Calibri" w:hAnsi="Calibri"/>
          <w:b w:val="0"/>
          <w:i w:val="0"/>
          <w:sz w:val="22"/>
        </w:rPr>
        <w:t>A complete district report (or a regional summary across all districts).</w:t>
      </w:r>
    </w:p>
    <w:p>
      <w:pPr>
        <w:pStyle w:val="ListBullet"/>
      </w:pPr>
      <w:r>
        <w:rPr>
          <w:rFonts w:ascii="Calibri" w:hAnsi="Calibri"/>
          <w:b/>
          <w:i w:val="0"/>
          <w:sz w:val="22"/>
        </w:rPr>
        <w:t xml:space="preserve">•  </w:t>
      </w:r>
      <w:r>
        <w:rPr>
          <w:rFonts w:ascii="Calibri" w:hAnsi="Calibri"/>
          <w:b w:val="0"/>
          <w:i w:val="0"/>
          <w:sz w:val="22"/>
        </w:rPr>
        <w:t>In English or French — your choice, one click.</w:t>
      </w:r>
    </w:p>
    <w:p>
      <w:pPr>
        <w:pStyle w:val="ListBullet"/>
      </w:pPr>
      <w:r>
        <w:rPr>
          <w:rFonts w:ascii="Calibri" w:hAnsi="Calibri"/>
          <w:b/>
          <w:i w:val="0"/>
          <w:sz w:val="22"/>
        </w:rPr>
        <w:t xml:space="preserve">•  </w:t>
      </w:r>
      <w:r>
        <w:rPr>
          <w:rFonts w:ascii="Calibri" w:hAnsi="Calibri"/>
          <w:b w:val="0"/>
          <w:i w:val="0"/>
          <w:sz w:val="22"/>
        </w:rPr>
        <w:t>As a Microsoft Word (.docx) file you can edit, print or convert to PDF.</w:t>
      </w:r>
    </w:p>
    <w:p>
      <w:pPr>
        <w:pStyle w:val="Heading2"/>
      </w:pPr>
      <w:r>
        <w:rPr>
          <w:color w:val="202A2C"/>
        </w:rPr>
        <w:t>Key principles</w:t>
      </w:r>
    </w:p>
    <w:p>
      <w:pPr>
        <w:pStyle w:val="ListBullet"/>
      </w:pPr>
      <w:r>
        <w:rPr>
          <w:rFonts w:ascii="Calibri" w:hAnsi="Calibri"/>
          <w:b/>
          <w:i w:val="0"/>
          <w:sz w:val="22"/>
        </w:rPr>
        <w:t xml:space="preserve">Private.  </w:t>
      </w:r>
      <w:r>
        <w:rPr>
          <w:rFonts w:ascii="Calibri" w:hAnsi="Calibri"/>
          <w:b w:val="0"/>
          <w:i w:val="0"/>
          <w:sz w:val="22"/>
        </w:rPr>
        <w:t>Runs entirely on your own computer — your data never leaves your machine.</w:t>
      </w:r>
    </w:p>
    <w:p>
      <w:pPr>
        <w:pStyle w:val="ListBullet"/>
      </w:pPr>
      <w:r>
        <w:rPr>
          <w:rFonts w:ascii="Calibri" w:hAnsi="Calibri"/>
          <w:b/>
          <w:i w:val="0"/>
          <w:sz w:val="22"/>
        </w:rPr>
        <w:t xml:space="preserve">Safe.  </w:t>
      </w:r>
      <w:r>
        <w:rPr>
          <w:rFonts w:ascii="Calibri" w:hAnsi="Calibri"/>
          <w:b w:val="0"/>
          <w:i w:val="0"/>
          <w:sz w:val="22"/>
        </w:rPr>
        <w:t>It never asks for your DHIS2 password; it works because you are already logged in.</w:t>
      </w:r>
    </w:p>
    <w:p>
      <w:pPr>
        <w:pStyle w:val="ListBullet"/>
      </w:pPr>
      <w:r>
        <w:rPr>
          <w:rFonts w:ascii="Calibri" w:hAnsi="Calibri"/>
          <w:b/>
          <w:i w:val="0"/>
          <w:sz w:val="22"/>
        </w:rPr>
        <w:t xml:space="preserve">Trustworthy.  </w:t>
      </w:r>
      <w:r>
        <w:rPr>
          <w:rFonts w:ascii="Calibri" w:hAnsi="Calibri"/>
          <w:b w:val="0"/>
          <w:i w:val="0"/>
          <w:sz w:val="22"/>
        </w:rPr>
        <w:t>Every figure is computed from your data by the program, not invented.</w:t>
      </w:r>
    </w:p>
    <w:p>
      <w:pPr>
        <w:spacing w:after="40"/>
      </w:pPr>
    </w:p>
    <w:p>
      <w:pPr>
        <w:pStyle w:val="Heading1"/>
      </w:pPr>
      <w:r>
        <w:rPr>
          <w:color w:val="1A5B68"/>
        </w:rPr>
        <w:t>2. Before you begin</w:t>
      </w:r>
    </w:p>
    <w:p>
      <w:pPr>
        <w:spacing w:after="160"/>
      </w:pPr>
      <w:r>
        <w:rPr>
          <w:rFonts w:ascii="Calibri" w:hAnsi="Calibri"/>
          <w:b w:val="0"/>
          <w:i w:val="0"/>
          <w:sz w:val="22"/>
        </w:rPr>
        <w:t>There are two ways to run the tool. Almost everyone should use the ready-made app — it needs nothing installed at all.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1A5B68"/>
          </w:tcPr>
          <w:p>
            <w:r>
              <w:rPr>
                <w:rFonts w:ascii="Calibri" w:hAnsi="Calibri"/>
                <w:b/>
                <w:i w:val="0"/>
                <w:color w:val="FFFFFF"/>
                <w:sz w:val="21"/>
              </w:rPr>
              <w:t>Option</w:t>
            </w:r>
          </w:p>
        </w:tc>
        <w:tc>
          <w:tcPr>
            <w:tcW w:type="dxa" w:w="4320"/>
            <w:shd w:val="clear" w:fill="1A5B68"/>
          </w:tcPr>
          <w:p>
            <w:r>
              <w:rPr>
                <w:rFonts w:ascii="Calibri" w:hAnsi="Calibri"/>
                <w:b/>
                <w:i w:val="0"/>
                <w:color w:val="FFFFFF"/>
                <w:sz w:val="21"/>
              </w:rPr>
              <w:t>What you need</w:t>
            </w:r>
          </w:p>
        </w:tc>
      </w:tr>
      <w:tr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Ready-made app (recommended)</w:t>
            </w:r>
          </w:p>
        </w:tc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Windows 10 or 11 and your DHIS2 login. Nothing to install.</w:t>
            </w:r>
          </w:p>
        </w:tc>
      </w:tr>
      <w:tr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Source version (for IT staff)</w:t>
            </w:r>
          </w:p>
        </w:tc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Windows, the BizReport.zip folder, and Python 3.11+ from python.org.</w:t>
            </w:r>
          </w:p>
        </w:tc>
      </w:tr>
    </w:tbl>
    <w:p>
      <w:pPr>
        <w:spacing w:after="8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928"/>
            <w:shd w:val="clear" w:fill="E9F3F5"/>
          </w:tcPr>
          <w:p>
            <w:pPr>
              <w:spacing w:after="40"/>
            </w:pPr>
            <w:r>
              <w:rPr>
                <w:rFonts w:ascii="Calibri" w:hAnsi="Calibri"/>
                <w:b/>
                <w:i w:val="0"/>
                <w:color w:val="1A5B68"/>
                <w:sz w:val="21"/>
              </w:rPr>
              <w:t xml:space="preserve">You never need your password.  </w:t>
            </w:r>
            <w:r>
              <w:rPr>
                <w:rFonts w:ascii="Calibri" w:hAnsi="Calibri"/>
                <w:b w:val="0"/>
                <w:i w:val="0"/>
                <w:sz w:val="21"/>
              </w:rPr>
              <w:t>Whichever option you use, the tool works only because you are logged in to DHIS2 yourself. It never asks for, sees or stores your password.</w:t>
            </w:r>
          </w:p>
        </w:tc>
      </w:tr>
    </w:tbl>
    <w:p>
      <w:pPr>
        <w:spacing w:after="80"/>
      </w:pPr>
    </w:p>
    <w:p>
      <w:pPr>
        <w:spacing w:after="40"/>
      </w:pPr>
    </w:p>
    <w:p>
      <w:pPr>
        <w:pStyle w:val="Heading1"/>
      </w:pPr>
      <w:r>
        <w:rPr>
          <w:color w:val="1A5B68"/>
        </w:rPr>
        <w:t>3. Installing the tool (once)</w:t>
      </w:r>
    </w:p>
    <w:p>
      <w:pPr>
        <w:pStyle w:val="Heading2"/>
      </w:pPr>
      <w:r>
        <w:rPr>
          <w:color w:val="202A2C"/>
        </w:rPr>
        <w:t>The ready-made app (recommended)</w:t>
      </w:r>
    </w:p>
    <w:p>
      <w:pPr>
        <w:spacing w:after="120"/>
      </w:pPr>
      <w:r>
        <w:rPr>
          <w:rFonts w:ascii="Calibri" w:hAnsi="Calibri"/>
          <w:b/>
          <w:i w:val="0"/>
          <w:color w:val="1A5B68"/>
          <w:sz w:val="24"/>
        </w:rPr>
        <w:t xml:space="preserve">1.  </w:t>
      </w:r>
      <w:r>
        <w:rPr>
          <w:rFonts w:ascii="Calibri" w:hAnsi="Calibri"/>
          <w:b w:val="0"/>
          <w:i w:val="0"/>
          <w:sz w:val="22"/>
        </w:rPr>
        <w:t>Download BizReport.exe from fieldhealthafrica.org and save it somewhere easy, such as your Desktop.</w:t>
      </w:r>
    </w:p>
    <w:p>
      <w:pPr>
        <w:spacing w:after="120"/>
      </w:pPr>
      <w:r>
        <w:rPr>
          <w:rFonts w:ascii="Calibri" w:hAnsi="Calibri"/>
          <w:b/>
          <w:i w:val="0"/>
          <w:color w:val="1A5B68"/>
          <w:sz w:val="24"/>
        </w:rPr>
        <w:t xml:space="preserve">2.  </w:t>
      </w:r>
      <w:r>
        <w:rPr>
          <w:rFonts w:ascii="Calibri" w:hAnsi="Calibri"/>
          <w:b w:val="0"/>
          <w:i w:val="0"/>
          <w:sz w:val="22"/>
        </w:rPr>
        <w:t>Double-click BizReport.exe. The first time, Windows may show a blue “Windows protected your PC” notice because the app is new — click “More info”, then “Run anyway”. (This is normal for new programs.)</w:t>
      </w:r>
    </w:p>
    <w:p>
      <w:pPr>
        <w:spacing w:after="120"/>
      </w:pPr>
      <w:r>
        <w:rPr>
          <w:rFonts w:ascii="Calibri" w:hAnsi="Calibri"/>
          <w:b/>
          <w:i w:val="0"/>
          <w:color w:val="1A5B68"/>
          <w:sz w:val="24"/>
        </w:rPr>
        <w:t xml:space="preserve">3.  </w:t>
      </w:r>
      <w:r>
        <w:rPr>
          <w:rFonts w:ascii="Calibri" w:hAnsi="Calibri"/>
          <w:b w:val="0"/>
          <w:i w:val="0"/>
          <w:sz w:val="22"/>
        </w:rPr>
        <w:t>The “District Health Report” window opens. That is the whole installation — there is nothing else to set up.</w:t>
      </w:r>
    </w:p>
    <w:p>
      <w:pPr>
        <w:pStyle w:val="Heading2"/>
      </w:pPr>
      <w:r>
        <w:rPr>
          <w:color w:val="202A2C"/>
        </w:rPr>
        <w:t>The source version (for IT staff)</w:t>
      </w:r>
    </w:p>
    <w:p>
      <w:pPr>
        <w:spacing w:after="160"/>
      </w:pPr>
      <w:r>
        <w:rPr>
          <w:rFonts w:ascii="Calibri" w:hAnsi="Calibri"/>
          <w:b w:val="0"/>
          <w:i w:val="0"/>
          <w:sz w:val="22"/>
        </w:rPr>
        <w:t>Alternatively, download BizReport.zip, unzip it, and double-click Setup.bat once — this installs the Python packages and the reference data. Then start the app with Start-Report-Tool.bat.</w:t>
      </w:r>
    </w:p>
    <w:p>
      <w:pPr>
        <w:spacing w:after="40"/>
      </w:pPr>
    </w:p>
    <w:p>
      <w:pPr>
        <w:pStyle w:val="Heading1"/>
      </w:pPr>
      <w:r>
        <w:rPr>
          <w:color w:val="1A5B68"/>
        </w:rPr>
        <w:t>4. Open the app</w:t>
      </w:r>
    </w:p>
    <w:p>
      <w:pPr>
        <w:spacing w:after="160"/>
      </w:pPr>
      <w:r>
        <w:rPr>
          <w:rFonts w:ascii="Calibri" w:hAnsi="Calibri"/>
          <w:b w:val="0"/>
          <w:i w:val="0"/>
          <w:sz w:val="22"/>
        </w:rPr>
        <w:t>Everything happens in one simple window. Double-click BizReport.exe (or, on the source version, Start-Report-Tool.bat). A window titled “District Health Report” opens, with three steps down the page — that is all you use from now on.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928"/>
            <w:shd w:val="clear" w:fill="E9F3F5"/>
          </w:tcPr>
          <w:p>
            <w:pPr>
              <w:spacing w:after="40"/>
            </w:pPr>
            <w:r>
              <w:rPr>
                <w:rFonts w:ascii="Calibri" w:hAnsi="Calibri"/>
                <w:b/>
                <w:i w:val="0"/>
                <w:color w:val="1A5B68"/>
                <w:sz w:val="21"/>
              </w:rPr>
              <w:t xml:space="preserve">No commands to type.  </w:t>
            </w:r>
            <w:r>
              <w:rPr>
                <w:rFonts w:ascii="Calibri" w:hAnsi="Calibri"/>
                <w:b w:val="0"/>
                <w:i w:val="0"/>
                <w:sz w:val="21"/>
              </w:rPr>
              <w:t>You will never need a black console window or type any commands. You only choose from menus and click buttons.</w:t>
            </w:r>
          </w:p>
        </w:tc>
      </w:tr>
    </w:tbl>
    <w:p>
      <w:pPr>
        <w:spacing w:after="80"/>
      </w:pPr>
    </w:p>
    <w:p>
      <w:pPr>
        <w:spacing w:after="40"/>
      </w:pPr>
    </w:p>
    <w:p>
      <w:pPr>
        <w:pStyle w:val="Heading1"/>
      </w:pPr>
      <w:r>
        <w:rPr>
          <w:color w:val="1A5B68"/>
        </w:rPr>
        <w:t>5. In the app — Step 1: get your data</w:t>
      </w:r>
    </w:p>
    <w:p>
      <w:pPr>
        <w:spacing w:after="160"/>
      </w:pPr>
      <w:r>
        <w:rPr>
          <w:rFonts w:ascii="Calibri" w:hAnsi="Calibri"/>
          <w:b w:val="0"/>
          <w:i w:val="0"/>
          <w:sz w:val="22"/>
        </w:rPr>
        <w:t>You fetch data once for a given district and period. Because the MINSANTE server only allows downloads from a logged-in browser, this one step happens in your browser.</w:t>
      </w:r>
    </w:p>
    <w:p>
      <w:pPr>
        <w:spacing w:after="120"/>
      </w:pPr>
      <w:r>
        <w:rPr>
          <w:rFonts w:ascii="Calibri" w:hAnsi="Calibri"/>
          <w:b/>
          <w:i w:val="0"/>
          <w:color w:val="1A5B68"/>
          <w:sz w:val="24"/>
        </w:rPr>
        <w:t xml:space="preserve">1.  </w:t>
      </w:r>
      <w:r>
        <w:rPr>
          <w:rFonts w:ascii="Calibri" w:hAnsi="Calibri"/>
          <w:b w:val="0"/>
          <w:i w:val="0"/>
          <w:sz w:val="22"/>
        </w:rPr>
        <w:t>In the app, click the “Open the data-fetch page” button. A short page opens in your browser.</w:t>
      </w:r>
    </w:p>
    <w:p>
      <w:pPr>
        <w:spacing w:after="120"/>
      </w:pPr>
      <w:r>
        <w:rPr>
          <w:rFonts w:ascii="Calibri" w:hAnsi="Calibri"/>
          <w:b/>
          <w:i w:val="0"/>
          <w:color w:val="1A5B68"/>
          <w:sz w:val="24"/>
        </w:rPr>
        <w:t xml:space="preserve">2.  </w:t>
      </w:r>
      <w:r>
        <w:rPr>
          <w:rFonts w:ascii="Calibri" w:hAnsi="Calibri"/>
          <w:b w:val="0"/>
          <w:i w:val="0"/>
          <w:sz w:val="22"/>
        </w:rPr>
        <w:t>First time only: drag the green “Fetch DHIS2 data” button onto your browser's bookmarks bar (press Ctrl+Shift+B if you don't see the bar).</w:t>
      </w:r>
    </w:p>
    <w:p>
      <w:pPr>
        <w:spacing w:after="120"/>
      </w:pPr>
      <w:r>
        <w:rPr>
          <w:rFonts w:ascii="Calibri" w:hAnsi="Calibri"/>
          <w:b/>
          <w:i w:val="0"/>
          <w:color w:val="1A5B68"/>
          <w:sz w:val="24"/>
        </w:rPr>
        <w:t xml:space="preserve">3.  </w:t>
      </w:r>
      <w:r>
        <w:rPr>
          <w:rFonts w:ascii="Calibri" w:hAnsi="Calibri"/>
          <w:b w:val="0"/>
          <w:i w:val="0"/>
          <w:sz w:val="22"/>
        </w:rPr>
        <w:t>Log in to dhis-minsante-cm.org, click that bookmark, and type your district and period. When the green bar shows “ALL DONE”, your data is saved.</w:t>
      </w:r>
    </w:p>
    <w:p>
      <w:pPr>
        <w:spacing w:after="160"/>
      </w:pPr>
      <w:r>
        <w:rPr>
          <w:rFonts w:ascii="Calibri" w:hAnsi="Calibri"/>
          <w:b w:val="0"/>
          <w:i w:val="0"/>
          <w:sz w:val="22"/>
        </w:rPr>
        <w:t>You can ask for a whole year, a single month, a quarter or a semester — the app's menus offer all of these: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1A5B68"/>
          </w:tcPr>
          <w:p>
            <w:r>
              <w:rPr>
                <w:rFonts w:ascii="Calibri" w:hAnsi="Calibri"/>
                <w:b/>
                <w:i w:val="0"/>
                <w:color w:val="FFFFFF"/>
                <w:sz w:val="21"/>
              </w:rPr>
              <w:t>Cover</w:t>
            </w:r>
          </w:p>
        </w:tc>
        <w:tc>
          <w:tcPr>
            <w:tcW w:type="dxa" w:w="4320"/>
            <w:shd w:val="clear" w:fill="1A5B68"/>
          </w:tcPr>
          <w:p>
            <w:r>
              <w:rPr>
                <w:rFonts w:ascii="Calibri" w:hAnsi="Calibri"/>
                <w:b/>
                <w:i w:val="0"/>
                <w:color w:val="FFFFFF"/>
                <w:sz w:val="21"/>
              </w:rPr>
              <w:t>Meaning</w:t>
            </w:r>
          </w:p>
        </w:tc>
      </w:tr>
      <w:tr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Whole year</w:t>
            </w:r>
          </w:p>
        </w:tc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All 12 months of the chosen year</w:t>
            </w:r>
          </w:p>
        </w:tc>
      </w:tr>
      <w:tr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One month</w:t>
            </w:r>
          </w:p>
        </w:tc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A single month, e.g. March</w:t>
            </w:r>
          </w:p>
        </w:tc>
      </w:tr>
      <w:tr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One quarter</w:t>
            </w:r>
          </w:p>
        </w:tc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Three months, e.g. January–March</w:t>
            </w:r>
          </w:p>
        </w:tc>
      </w:tr>
      <w:tr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One semester</w:t>
            </w:r>
          </w:p>
        </w:tc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Six months, e.g. January–June</w:t>
            </w:r>
          </w:p>
        </w:tc>
      </w:tr>
    </w:tbl>
    <w:p>
      <w:pPr>
        <w:spacing w:after="8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928"/>
            <w:shd w:val="clear" w:fill="E9F3F5"/>
          </w:tcPr>
          <w:p>
            <w:pPr>
              <w:spacing w:after="40"/>
            </w:pPr>
            <w:r>
              <w:rPr>
                <w:rFonts w:ascii="Calibri" w:hAnsi="Calibri"/>
                <w:b/>
                <w:i w:val="0"/>
                <w:color w:val="1A5B68"/>
                <w:sz w:val="21"/>
              </w:rPr>
              <w:t xml:space="preserve">If it stops:  </w:t>
            </w:r>
            <w:r>
              <w:rPr>
                <w:rFonts w:ascii="Calibri" w:hAnsi="Calibri"/>
                <w:b w:val="0"/>
                <w:i w:val="0"/>
                <w:sz w:val="21"/>
              </w:rPr>
              <w:t>If the bar turns red (“not logged in / session expired”), open DHIS2, log in again, and click the bookmark once more.</w:t>
            </w:r>
          </w:p>
        </w:tc>
      </w:tr>
    </w:tbl>
    <w:p>
      <w:pPr>
        <w:spacing w:after="80"/>
      </w:pPr>
    </w:p>
    <w:p>
      <w:pPr>
        <w:spacing w:after="40"/>
      </w:pPr>
    </w:p>
    <w:p>
      <w:pPr>
        <w:pStyle w:val="Heading1"/>
      </w:pPr>
      <w:r>
        <w:rPr>
          <w:color w:val="1A5B68"/>
        </w:rPr>
        <w:t>6. In the app — Step 2: choose and generate</w:t>
      </w:r>
    </w:p>
    <w:p>
      <w:pPr>
        <w:spacing w:after="160"/>
      </w:pPr>
      <w:r>
        <w:rPr>
          <w:rFonts w:ascii="Calibri" w:hAnsi="Calibri"/>
          <w:b w:val="0"/>
          <w:i w:val="0"/>
          <w:sz w:val="22"/>
        </w:rPr>
        <w:t>Back in the app window:</w:t>
      </w:r>
    </w:p>
    <w:p>
      <w:pPr>
        <w:spacing w:after="120"/>
      </w:pPr>
      <w:r>
        <w:rPr>
          <w:rFonts w:ascii="Calibri" w:hAnsi="Calibri"/>
          <w:b/>
          <w:i w:val="0"/>
          <w:color w:val="1A5B68"/>
          <w:sz w:val="24"/>
        </w:rPr>
        <w:t xml:space="preserve">1.  </w:t>
      </w:r>
      <w:r>
        <w:rPr>
          <w:rFonts w:ascii="Calibri" w:hAnsi="Calibri"/>
          <w:b w:val="0"/>
          <w:i w:val="0"/>
          <w:sz w:val="22"/>
        </w:rPr>
        <w:t>Choose your District from the menu (or “ALL districts”, or “REGION summary”).</w:t>
      </w:r>
    </w:p>
    <w:p>
      <w:pPr>
        <w:spacing w:after="120"/>
      </w:pPr>
      <w:r>
        <w:rPr>
          <w:rFonts w:ascii="Calibri" w:hAnsi="Calibri"/>
          <w:b/>
          <w:i w:val="0"/>
          <w:color w:val="1A5B68"/>
          <w:sz w:val="24"/>
        </w:rPr>
        <w:t xml:space="preserve">2.  </w:t>
      </w:r>
      <w:r>
        <w:rPr>
          <w:rFonts w:ascii="Calibri" w:hAnsi="Calibri"/>
          <w:b w:val="0"/>
          <w:i w:val="0"/>
          <w:sz w:val="22"/>
        </w:rPr>
        <w:t>Choose the Year and the Cover (Whole year / One month / One quarter / One semester — a second menu appears to pick which one).</w:t>
      </w:r>
    </w:p>
    <w:p>
      <w:pPr>
        <w:spacing w:after="120"/>
      </w:pPr>
      <w:r>
        <w:rPr>
          <w:rFonts w:ascii="Calibri" w:hAnsi="Calibri"/>
          <w:b/>
          <w:i w:val="0"/>
          <w:color w:val="1A5B68"/>
          <w:sz w:val="24"/>
        </w:rPr>
        <w:t xml:space="preserve">3.  </w:t>
      </w:r>
      <w:r>
        <w:rPr>
          <w:rFonts w:ascii="Calibri" w:hAnsi="Calibri"/>
          <w:b w:val="0"/>
          <w:i w:val="0"/>
          <w:sz w:val="22"/>
        </w:rPr>
        <w:t>Choose the language — English or Français.</w:t>
      </w:r>
    </w:p>
    <w:p>
      <w:pPr>
        <w:spacing w:after="120"/>
      </w:pPr>
      <w:r>
        <w:rPr>
          <w:rFonts w:ascii="Calibri" w:hAnsi="Calibri"/>
          <w:b/>
          <w:i w:val="0"/>
          <w:color w:val="1A5B68"/>
          <w:sz w:val="24"/>
        </w:rPr>
        <w:t xml:space="preserve">4.  </w:t>
      </w:r>
      <w:r>
        <w:rPr>
          <w:rFonts w:ascii="Calibri" w:hAnsi="Calibri"/>
          <w:b w:val="0"/>
          <w:i w:val="0"/>
          <w:sz w:val="22"/>
        </w:rPr>
        <w:t>Click the green “Generate report” button. A minute later, your finished report opens by itself in Microsoft Word.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928"/>
            <w:shd w:val="clear" w:fill="E9F3F5"/>
          </w:tcPr>
          <w:p>
            <w:pPr>
              <w:spacing w:after="40"/>
            </w:pPr>
            <w:r>
              <w:rPr>
                <w:rFonts w:ascii="Calibri" w:hAnsi="Calibri"/>
                <w:b/>
                <w:i w:val="0"/>
                <w:color w:val="1A5B68"/>
                <w:sz w:val="21"/>
              </w:rPr>
              <w:t xml:space="preserve">Always review before sharing.  </w:t>
            </w:r>
            <w:r>
              <w:rPr>
                <w:rFonts w:ascii="Calibri" w:hAnsi="Calibri"/>
                <w:b w:val="0"/>
                <w:i w:val="0"/>
                <w:sz w:val="21"/>
              </w:rPr>
              <w:t>The figures are computed from your data, but the narrative is a starting draft. Read the report, correct anything that needs local context, and complete the sections marked for the district team before you distribute it.</w:t>
            </w:r>
          </w:p>
        </w:tc>
      </w:tr>
    </w:tbl>
    <w:p>
      <w:pPr>
        <w:spacing w:after="80"/>
      </w:pPr>
    </w:p>
    <w:p>
      <w:pPr>
        <w:spacing w:after="160"/>
      </w:pPr>
      <w:r>
        <w:rPr>
          <w:rFonts w:ascii="Calibri" w:hAnsi="Calibri"/>
          <w:b w:val="0"/>
          <w:i w:val="0"/>
          <w:sz w:val="22"/>
        </w:rPr>
        <w:t>Every report is also saved in the reports folder inside the tool's folder — for example District_Mamfe_2025.docx (English) or District_Mamfe_2025_fr.docx (French). To share one as a PDF, open it in Word and use File → Save As → PDF.</w:t>
      </w:r>
    </w:p>
    <w:p>
      <w:pPr>
        <w:spacing w:after="40"/>
      </w:pPr>
    </w:p>
    <w:p>
      <w:pPr>
        <w:pStyle w:val="Heading1"/>
      </w:pPr>
      <w:r>
        <w:rPr>
          <w:color w:val="1A5B68"/>
        </w:rPr>
        <w:t>7. Understanding the report</w:t>
      </w:r>
    </w:p>
    <w:p>
      <w:pPr>
        <w:spacing w:after="160"/>
      </w:pPr>
      <w:r>
        <w:rPr>
          <w:rFonts w:ascii="Calibri" w:hAnsi="Calibri"/>
          <w:b w:val="0"/>
          <w:i w:val="0"/>
          <w:sz w:val="22"/>
        </w:rPr>
        <w:t>The report follows the official 23-section district layout: introduction and demographics; completeness and coverage; antenatal, delivery and post-natal care; family planning; immunization; malaria, HIV and tuberculosis; weekly epidemiological surveillance; non-communicable diseases; civil status; leading causes of consultation, hospitalization and death; health financing; recommendations; and framework sections (partners, infrastructure, SWOT and action plan) for your team to complete.</w:t>
      </w:r>
    </w:p>
    <w:p>
      <w:pPr>
        <w:pStyle w:val="ListBullet"/>
      </w:pPr>
      <w:r>
        <w:rPr>
          <w:rFonts w:ascii="Calibri" w:hAnsi="Calibri"/>
          <w:b/>
          <w:i w:val="0"/>
          <w:sz w:val="22"/>
        </w:rPr>
        <w:t xml:space="preserve">Colour coding:  </w:t>
      </w:r>
      <w:r>
        <w:rPr>
          <w:rFonts w:ascii="Calibri" w:hAnsi="Calibri"/>
          <w:b w:val="0"/>
          <w:i w:val="0"/>
          <w:sz w:val="22"/>
        </w:rPr>
        <w:t>cells shade green (good), amber (watch) or red (act) against national targets.</w:t>
      </w:r>
    </w:p>
    <w:p>
      <w:pPr>
        <w:pStyle w:val="ListBullet"/>
      </w:pPr>
      <w:r>
        <w:rPr>
          <w:rFonts w:ascii="Calibri" w:hAnsi="Calibri"/>
          <w:b/>
          <w:i w:val="0"/>
          <w:sz w:val="22"/>
        </w:rPr>
        <w:t xml:space="preserve">Figures &amp; tables:  </w:t>
      </w:r>
      <w:r>
        <w:rPr>
          <w:rFonts w:ascii="Calibri" w:hAnsi="Calibri"/>
          <w:b w:val="0"/>
          <w:i w:val="0"/>
          <w:sz w:val="22"/>
        </w:rPr>
        <w:t>each analysis is backed by a numbered chart and a supporting table.</w:t>
      </w:r>
    </w:p>
    <w:p>
      <w:pPr>
        <w:pStyle w:val="ListBullet"/>
      </w:pPr>
      <w:r>
        <w:rPr>
          <w:rFonts w:ascii="Calibri" w:hAnsi="Calibri"/>
          <w:b/>
          <w:i w:val="0"/>
          <w:sz w:val="22"/>
        </w:rPr>
        <w:t xml:space="preserve">Surveillance alerts:  </w:t>
      </w:r>
      <w:r>
        <w:rPr>
          <w:rFonts w:ascii="Calibri" w:hAnsi="Calibri"/>
          <w:b w:val="0"/>
          <w:i w:val="0"/>
          <w:sz w:val="22"/>
        </w:rPr>
        <w:t>the tool suggests likely epidemics from the weekly signals — always confirm by field investigation.</w:t>
      </w:r>
    </w:p>
    <w:p>
      <w:pPr>
        <w:spacing w:after="40"/>
      </w:pPr>
    </w:p>
    <w:p>
      <w:pPr>
        <w:pStyle w:val="Heading1"/>
      </w:pPr>
      <w:r>
        <w:rPr>
          <w:color w:val="1A5B68"/>
        </w:rPr>
        <w:t>8. Optional — polished narrative (AI)</w:t>
      </w:r>
    </w:p>
    <w:p>
      <w:pPr>
        <w:spacing w:after="160"/>
      </w:pPr>
      <w:r>
        <w:rPr>
          <w:rFonts w:ascii="Calibri" w:hAnsi="Calibri"/>
          <w:b w:val="0"/>
          <w:i w:val="0"/>
          <w:sz w:val="22"/>
        </w:rPr>
        <w:t>The report reads well on its own. If your organization has an Anthropic API key, the tool can also polish the wording automatically. To enable it, copy ai_config.example.json to ai_config.json and paste your key.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928"/>
            <w:shd w:val="clear" w:fill="E9F3F5"/>
          </w:tcPr>
          <w:p>
            <w:pPr>
              <w:spacing w:after="40"/>
            </w:pPr>
            <w:r>
              <w:rPr>
                <w:rFonts w:ascii="Calibri" w:hAnsi="Calibri"/>
                <w:b/>
                <w:i w:val="0"/>
                <w:color w:val="1A5B68"/>
                <w:sz w:val="21"/>
              </w:rPr>
              <w:t xml:space="preserve">The numbers stay safe.  </w:t>
            </w:r>
            <w:r>
              <w:rPr>
                <w:rFonts w:ascii="Calibri" w:hAnsi="Calibri"/>
                <w:b w:val="0"/>
                <w:i w:val="0"/>
                <w:sz w:val="21"/>
              </w:rPr>
              <w:t>Even with the AI enabled, every figure is still computed in code and checked — the AI only rephrases the sentences, and any wording that would change a number is rejected. Only aggregate figures are ever sent; no patient data.</w:t>
            </w:r>
          </w:p>
        </w:tc>
      </w:tr>
    </w:tbl>
    <w:p>
      <w:pPr>
        <w:spacing w:after="80"/>
      </w:pPr>
    </w:p>
    <w:p>
      <w:pPr>
        <w:spacing w:after="40"/>
      </w:pPr>
    </w:p>
    <w:p>
      <w:pPr>
        <w:pStyle w:val="Heading1"/>
      </w:pPr>
      <w:r>
        <w:rPr>
          <w:color w:val="1A5B68"/>
        </w:rPr>
        <w:t>9. Data privacy and responsible use</w:t>
      </w:r>
    </w:p>
    <w:p>
      <w:pPr>
        <w:pStyle w:val="ListBullet"/>
      </w:pPr>
      <w:r>
        <w:rPr>
          <w:rFonts w:ascii="Calibri" w:hAnsi="Calibri"/>
          <w:b/>
          <w:i w:val="0"/>
          <w:sz w:val="22"/>
        </w:rPr>
        <w:t xml:space="preserve">•  </w:t>
      </w:r>
      <w:r>
        <w:rPr>
          <w:rFonts w:ascii="Calibri" w:hAnsi="Calibri"/>
          <w:b w:val="0"/>
          <w:i w:val="0"/>
          <w:sz w:val="22"/>
        </w:rPr>
        <w:t>The tool runs locally. Your data stays on your computer, in your home folder (SW-District-Reports), and is never uploaded anywhere.</w:t>
      </w:r>
    </w:p>
    <w:p>
      <w:pPr>
        <w:pStyle w:val="ListBullet"/>
      </w:pPr>
      <w:r>
        <w:rPr>
          <w:rFonts w:ascii="Calibri" w:hAnsi="Calibri"/>
          <w:b/>
          <w:i w:val="0"/>
          <w:sz w:val="22"/>
        </w:rPr>
        <w:t xml:space="preserve">•  </w:t>
      </w:r>
      <w:r>
        <w:rPr>
          <w:rFonts w:ascii="Calibri" w:hAnsi="Calibri"/>
          <w:b w:val="0"/>
          <w:i w:val="0"/>
          <w:sz w:val="22"/>
        </w:rPr>
        <w:t>It never sees or stores your DHIS2 password.</w:t>
      </w:r>
    </w:p>
    <w:p>
      <w:pPr>
        <w:pStyle w:val="ListBullet"/>
      </w:pPr>
      <w:r>
        <w:rPr>
          <w:rFonts w:ascii="Calibri" w:hAnsi="Calibri"/>
          <w:b/>
          <w:i w:val="0"/>
          <w:sz w:val="22"/>
        </w:rPr>
        <w:t xml:space="preserve">•  </w:t>
      </w:r>
      <w:r>
        <w:rPr>
          <w:rFonts w:ascii="Calibri" w:hAnsi="Calibri"/>
          <w:b w:val="0"/>
          <w:i w:val="0"/>
          <w:sz w:val="22"/>
        </w:rPr>
        <w:t>Only aggregate, non-identifiable figures are used — never individual patient records.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928"/>
            <w:shd w:val="clear" w:fill="FDECEA"/>
          </w:tcPr>
          <w:p>
            <w:pPr>
              <w:spacing w:after="40"/>
            </w:pPr>
            <w:r>
              <w:rPr>
                <w:rFonts w:ascii="Calibri" w:hAnsi="Calibri"/>
                <w:b/>
                <w:i w:val="0"/>
                <w:color w:val="B02A1A"/>
                <w:sz w:val="21"/>
              </w:rPr>
              <w:t xml:space="preserve">Before publishing:  </w:t>
            </w:r>
            <w:r>
              <w:rPr>
                <w:rFonts w:ascii="Calibri" w:hAnsi="Calibri"/>
                <w:b w:val="0"/>
                <w:i w:val="0"/>
                <w:sz w:val="21"/>
              </w:rPr>
              <w:t>Generated reports contain health statistics owned by the health system. Treat them as official documents and obtain the usual clearance before sharing them publicly or outside your service.</w:t>
            </w:r>
          </w:p>
        </w:tc>
      </w:tr>
    </w:tbl>
    <w:p>
      <w:pPr>
        <w:spacing w:after="80"/>
      </w:pPr>
    </w:p>
    <w:p>
      <w:pPr>
        <w:spacing w:after="40"/>
      </w:pPr>
    </w:p>
    <w:p>
      <w:pPr>
        <w:pStyle w:val="Heading1"/>
      </w:pPr>
      <w:r>
        <w:rPr>
          <w:color w:val="1A5B68"/>
        </w:rPr>
        <w:t>10. Troubleshooting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1A5B68"/>
          </w:tcPr>
          <w:p>
            <w:r>
              <w:rPr>
                <w:rFonts w:ascii="Calibri" w:hAnsi="Calibri"/>
                <w:b/>
                <w:i w:val="0"/>
                <w:color w:val="FFFFFF"/>
                <w:sz w:val="21"/>
              </w:rPr>
              <w:t>If you see…</w:t>
            </w:r>
          </w:p>
        </w:tc>
        <w:tc>
          <w:tcPr>
            <w:tcW w:type="dxa" w:w="4320"/>
            <w:shd w:val="clear" w:fill="1A5B68"/>
          </w:tcPr>
          <w:p>
            <w:r>
              <w:rPr>
                <w:rFonts w:ascii="Calibri" w:hAnsi="Calibri"/>
                <w:b/>
                <w:i w:val="0"/>
                <w:color w:val="FFFFFF"/>
                <w:sz w:val="21"/>
              </w:rPr>
              <w:t>Do this</w:t>
            </w:r>
          </w:p>
        </w:tc>
      </w:tr>
      <w:tr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“python is not recognized”</w:t>
            </w:r>
          </w:p>
        </w:tc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Python is not on your PATH. Reinstall Python and tick “Add Python to PATH”.</w:t>
            </w:r>
          </w:p>
        </w:tc>
      </w:tr>
      <w:tr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The report says data is missing</w:t>
            </w:r>
          </w:p>
        </w:tc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Re-run the fetch button for that district and period, then run the report again. It prints the exact files it expects.</w:t>
            </w:r>
          </w:p>
        </w:tc>
      </w:tr>
      <w:tr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“not logged in / session expired”</w:t>
            </w:r>
          </w:p>
        </w:tc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Open DHIS2, log in, and click the fetch bookmark again.</w:t>
            </w:r>
          </w:p>
        </w:tc>
      </w:tr>
      <w:tr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Word says the file is locked</w:t>
            </w:r>
          </w:p>
        </w:tc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Close the report if it is open. The tool saves a “… (revised).docx” copy in the meantime.</w:t>
            </w:r>
          </w:p>
        </w:tc>
      </w:tr>
      <w:tr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Charts look empty for a period</w:t>
            </w:r>
          </w:p>
        </w:tc>
        <w:tc>
          <w:tcPr>
            <w:tcW w:type="dxa" w:w="4320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That indicator had no data reported for that period — verify reporting in DHIS2.</w:t>
            </w:r>
          </w:p>
        </w:tc>
      </w:tr>
    </w:tbl>
    <w:p>
      <w:pPr>
        <w:spacing w:after="80"/>
      </w:pPr>
    </w:p>
    <w:p>
      <w:pPr>
        <w:spacing w:after="40"/>
      </w:pPr>
    </w:p>
    <w:p>
      <w:pPr>
        <w:pStyle w:val="Heading1"/>
      </w:pPr>
      <w:r>
        <w:rPr>
          <w:color w:val="1A5B68"/>
        </w:rPr>
        <w:t>11. Frequently asked questions</w:t>
      </w:r>
    </w:p>
    <w:p>
      <w:pPr>
        <w:spacing w:after="40"/>
      </w:pPr>
      <w:r>
        <w:rPr>
          <w:rFonts w:ascii="Calibri" w:hAnsi="Calibri"/>
          <w:b/>
          <w:i w:val="0"/>
          <w:color w:val="1A5B68"/>
          <w:sz w:val="22"/>
        </w:rPr>
        <w:t xml:space="preserve">Q.  </w:t>
      </w:r>
      <w:r>
        <w:rPr>
          <w:rFonts w:ascii="Calibri" w:hAnsi="Calibri"/>
          <w:b/>
          <w:i w:val="0"/>
          <w:sz w:val="22"/>
        </w:rPr>
        <w:t>Can I use it for any district?</w:t>
      </w:r>
    </w:p>
    <w:p>
      <w:pPr>
        <w:spacing w:after="160"/>
      </w:pPr>
      <w:r>
        <w:rPr>
          <w:rFonts w:ascii="Calibri" w:hAnsi="Calibri"/>
          <w:b/>
          <w:i w:val="0"/>
          <w:color w:val="666B6E"/>
          <w:sz w:val="22"/>
        </w:rPr>
        <w:t xml:space="preserve">A.  </w:t>
      </w:r>
      <w:r>
        <w:rPr>
          <w:rFonts w:ascii="Calibri" w:hAnsi="Calibri"/>
          <w:b w:val="0"/>
          <w:i w:val="0"/>
          <w:sz w:val="22"/>
        </w:rPr>
        <w:t>Yes — any of the 21 South West Region districts. Type the district name when the button and the report generator ask for it.</w:t>
      </w:r>
    </w:p>
    <w:p>
      <w:pPr>
        <w:spacing w:after="40"/>
      </w:pPr>
      <w:r>
        <w:rPr>
          <w:rFonts w:ascii="Calibri" w:hAnsi="Calibri"/>
          <w:b/>
          <w:i w:val="0"/>
          <w:color w:val="1A5B68"/>
          <w:sz w:val="22"/>
        </w:rPr>
        <w:t xml:space="preserve">Q.  </w:t>
      </w:r>
      <w:r>
        <w:rPr>
          <w:rFonts w:ascii="Calibri" w:hAnsi="Calibri"/>
          <w:b/>
          <w:i w:val="0"/>
          <w:sz w:val="22"/>
        </w:rPr>
        <w:t>Does it work without internet?</w:t>
      </w:r>
    </w:p>
    <w:p>
      <w:pPr>
        <w:spacing w:after="160"/>
      </w:pPr>
      <w:r>
        <w:rPr>
          <w:rFonts w:ascii="Calibri" w:hAnsi="Calibri"/>
          <w:b/>
          <w:i w:val="0"/>
          <w:color w:val="666B6E"/>
          <w:sz w:val="22"/>
        </w:rPr>
        <w:t xml:space="preserve">A.  </w:t>
      </w:r>
      <w:r>
        <w:rPr>
          <w:rFonts w:ascii="Calibri" w:hAnsi="Calibri"/>
          <w:b w:val="0"/>
          <w:i w:val="0"/>
          <w:sz w:val="22"/>
        </w:rPr>
        <w:t>The report generation is fully offline. Only the one-time data fetch needs you to be logged in to DHIS2 in your browser.</w:t>
      </w:r>
    </w:p>
    <w:p>
      <w:pPr>
        <w:spacing w:after="40"/>
      </w:pPr>
      <w:r>
        <w:rPr>
          <w:rFonts w:ascii="Calibri" w:hAnsi="Calibri"/>
          <w:b/>
          <w:i w:val="0"/>
          <w:color w:val="1A5B68"/>
          <w:sz w:val="22"/>
        </w:rPr>
        <w:t xml:space="preserve">Q.  </w:t>
      </w:r>
      <w:r>
        <w:rPr>
          <w:rFonts w:ascii="Calibri" w:hAnsi="Calibri"/>
          <w:b/>
          <w:i w:val="0"/>
          <w:sz w:val="22"/>
        </w:rPr>
        <w:t>Can I get both languages?</w:t>
      </w:r>
    </w:p>
    <w:p>
      <w:pPr>
        <w:spacing w:after="160"/>
      </w:pPr>
      <w:r>
        <w:rPr>
          <w:rFonts w:ascii="Calibri" w:hAnsi="Calibri"/>
          <w:b/>
          <w:i w:val="0"/>
          <w:color w:val="666B6E"/>
          <w:sz w:val="22"/>
        </w:rPr>
        <w:t xml:space="preserve">A.  </w:t>
      </w:r>
      <w:r>
        <w:rPr>
          <w:rFonts w:ascii="Calibri" w:hAnsi="Calibri"/>
          <w:b w:val="0"/>
          <w:i w:val="0"/>
          <w:sz w:val="22"/>
        </w:rPr>
        <w:t>Yes. Run it once with en and once with fr; the two files sit side by side.</w:t>
      </w:r>
    </w:p>
    <w:p>
      <w:pPr>
        <w:spacing w:after="40"/>
      </w:pPr>
      <w:r>
        <w:rPr>
          <w:rFonts w:ascii="Calibri" w:hAnsi="Calibri"/>
          <w:b/>
          <w:i w:val="0"/>
          <w:color w:val="1A5B68"/>
          <w:sz w:val="22"/>
        </w:rPr>
        <w:t xml:space="preserve">Q.  </w:t>
      </w:r>
      <w:r>
        <w:rPr>
          <w:rFonts w:ascii="Calibri" w:hAnsi="Calibri"/>
          <w:b/>
          <w:i w:val="0"/>
          <w:sz w:val="22"/>
        </w:rPr>
        <w:t>Is my data sent to FieldHealth Africa or anyone else?</w:t>
      </w:r>
    </w:p>
    <w:p>
      <w:pPr>
        <w:spacing w:after="160"/>
      </w:pPr>
      <w:r>
        <w:rPr>
          <w:rFonts w:ascii="Calibri" w:hAnsi="Calibri"/>
          <w:b/>
          <w:i w:val="0"/>
          <w:color w:val="666B6E"/>
          <w:sz w:val="22"/>
        </w:rPr>
        <w:t xml:space="preserve">A.  </w:t>
      </w:r>
      <w:r>
        <w:rPr>
          <w:rFonts w:ascii="Calibri" w:hAnsi="Calibri"/>
          <w:b w:val="0"/>
          <w:i w:val="0"/>
          <w:sz w:val="22"/>
        </w:rPr>
        <w:t>No. Everything runs on your computer. Nothing is uploaded.</w:t>
      </w:r>
    </w:p>
    <w:p>
      <w:pPr>
        <w:spacing w:after="40"/>
      </w:pPr>
    </w:p>
    <w:p>
      <w:pPr>
        <w:pStyle w:val="Heading1"/>
      </w:pPr>
      <w:r>
        <w:rPr>
          <w:color w:val="1A5B68"/>
        </w:rPr>
        <w:t>12. Getting help and credits</w:t>
      </w:r>
    </w:p>
    <w:p>
      <w:pPr>
        <w:spacing w:after="160"/>
      </w:pPr>
      <w:r>
        <w:rPr>
          <w:rFonts w:ascii="Calibri" w:hAnsi="Calibri"/>
          <w:b w:val="0"/>
          <w:i w:val="0"/>
          <w:sz w:val="22"/>
        </w:rPr>
        <w:t>For support, updates and the latest version of this tool, visit fieldhealthafrica.org.</w:t>
      </w:r>
    </w:p>
    <w:p>
      <w:pPr>
        <w:pStyle w:val="Heading2"/>
      </w:pPr>
      <w:r>
        <w:rPr>
          <w:color w:val="202A2C"/>
        </w:rPr>
        <w:t>Credits</w:t>
      </w:r>
    </w:p>
    <w:p>
      <w:pPr>
        <w:spacing w:after="160"/>
      </w:pPr>
      <w:r>
        <w:rPr>
          <w:rFonts w:ascii="Calibri" w:hAnsi="Calibri"/>
          <w:b w:val="0"/>
          <w:i w:val="0"/>
          <w:sz w:val="22"/>
        </w:rPr>
        <w:t>This tool and manual are a product of FieldHealth Africa, produced in collaboration by:</w:t>
      </w:r>
    </w:p>
    <w:p>
      <w:pPr>
        <w:pStyle w:val="ListBullet"/>
      </w:pPr>
      <w:r>
        <w:rPr>
          <w:rFonts w:ascii="Calibri" w:hAnsi="Calibri"/>
          <w:b/>
          <w:i w:val="0"/>
          <w:sz w:val="22"/>
        </w:rPr>
        <w:t xml:space="preserve">•  </w:t>
      </w:r>
      <w:r>
        <w:rPr>
          <w:rFonts w:ascii="Calibri" w:hAnsi="Calibri"/>
          <w:b w:val="0"/>
          <w:i w:val="0"/>
          <w:sz w:val="22"/>
        </w:rPr>
        <w:t>Dr. Nzozone Henry Fomukong — District Medical Officer, Mamfe Health District.</w:t>
      </w:r>
    </w:p>
    <w:p>
      <w:pPr>
        <w:pStyle w:val="ListBullet"/>
      </w:pPr>
      <w:r>
        <w:rPr>
          <w:rFonts w:ascii="Calibri" w:hAnsi="Calibri"/>
          <w:b/>
          <w:i w:val="0"/>
          <w:sz w:val="22"/>
        </w:rPr>
        <w:t xml:space="preserve">•  </w:t>
      </w:r>
      <w:r>
        <w:rPr>
          <w:rFonts w:ascii="Calibri" w:hAnsi="Calibri"/>
          <w:b w:val="0"/>
          <w:i w:val="0"/>
          <w:sz w:val="22"/>
        </w:rPr>
        <w:t>Dr. Njang Mbeng Emmanuel — District Medical Officer, Muyuka Health District.</w:t>
      </w:r>
    </w:p>
    <w:p>
      <w:pPr>
        <w:spacing w:after="160"/>
      </w:pPr>
      <w:r>
        <w:rPr>
          <w:rFonts w:ascii="Calibri" w:hAnsi="Calibri"/>
          <w:b w:val="0"/>
          <w:i/>
          <w:color w:val="666B6E"/>
          <w:sz w:val="22"/>
        </w:rPr>
        <w:t>Built for the district health services of the South West Region, Cameroon. Data is drawn from the national DHIS2 (MINSANTE); this tool is an independent aid to reporting and does not replace official MINSANTE systems.</w:t>
      </w:r>
    </w:p>
    <w:p>
      <w:pPr>
        <w:spacing w:before="240" w:after="120"/>
        <w:jc w:val="center"/>
      </w:pPr>
      <w:r>
        <w:rPr>
          <w:rFonts w:ascii="Calibri" w:hAnsi="Calibri"/>
          <w:b w:val="0"/>
          <w:i w:val="0"/>
          <w:color w:val="666B6E"/>
          <w:sz w:val="20"/>
        </w:rPr>
        <w:t>© 2026 FieldHealth Africa   ·   fieldhealthafrica.org</w:t>
      </w:r>
    </w:p>
    <w:sectPr w:rsidR="00FC693F" w:rsidRPr="0006063C" w:rsidSect="00034616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Calibri" w:hAnsi="Calibri"/>
        <w:b w:val="0"/>
        <w:i w:val="0"/>
        <w:color w:val="666B6E"/>
        <w:sz w:val="18"/>
      </w:rPr>
      <w:t xml:space="preserve">FieldHealth Africa   ·   fieldhealthafrica.org   ·   page </w:t>
    </w:r>
    <w:r>
      <w:rPr>
        <w:color w:val="666B6E"/>
        <w:sz w:val="18"/>
      </w:rP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